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Calibri" w:hAnsi="Calibri"/>
          <w:b/>
          <w:sz w:val="28"/>
          <w:szCs w:val="28"/>
          <w:u w:val="single"/>
        </w:rPr>
      </w:pPr>
    </w:p>
    <w:p>
      <w:pPr>
        <w:tabs>
          <w:tab w:val="left" w:pos="1190"/>
        </w:tabs>
        <w:spacing w:before="600" w:after="600" w:line="264" w:lineRule="auto"/>
        <w:contextualSpacing/>
        <w:jc w:val="center"/>
        <w:rPr>
          <w:rFonts w:eastAsia="Times New Roman"/>
          <w:b/>
          <w:sz w:val="32"/>
          <w:szCs w:val="28"/>
          <w:lang w:val="en-GB" w:eastAsia="de-DE"/>
        </w:rPr>
      </w:pPr>
      <w:r>
        <w:rPr>
          <w:rFonts w:eastAsia="Times New Roman"/>
          <w:b/>
          <w:sz w:val="32"/>
          <w:szCs w:val="32"/>
          <w:lang w:val="en-GB" w:eastAsia="de-DE"/>
        </w:rPr>
        <w:t>Sample Abstract f</w:t>
      </w:r>
      <w:r>
        <w:rPr>
          <w:rFonts w:eastAsia="Times New Roman"/>
          <w:b/>
          <w:sz w:val="32"/>
          <w:szCs w:val="28"/>
          <w:lang w:val="en-GB" w:eastAsia="de-DE"/>
        </w:rPr>
        <w:t>or ICOSSAR20</w:t>
      </w:r>
      <w:r>
        <w:rPr>
          <w:rFonts w:hint="eastAsia"/>
          <w:b/>
          <w:sz w:val="32"/>
          <w:szCs w:val="28"/>
        </w:rPr>
        <w:t>21</w:t>
      </w:r>
      <w:r>
        <w:rPr>
          <w:rFonts w:eastAsia="Times New Roman"/>
          <w:b/>
          <w:sz w:val="32"/>
          <w:szCs w:val="28"/>
          <w:lang w:val="en-GB" w:eastAsia="de-DE"/>
        </w:rPr>
        <w:t xml:space="preserve"> (16pt bold)</w:t>
      </w:r>
    </w:p>
    <w:p>
      <w:pPr>
        <w:tabs>
          <w:tab w:val="left" w:pos="1190"/>
        </w:tabs>
        <w:spacing w:after="720" w:line="264" w:lineRule="auto"/>
        <w:contextualSpacing/>
        <w:jc w:val="center"/>
        <w:rPr>
          <w:rFonts w:eastAsia="Times New Roman"/>
          <w:szCs w:val="28"/>
          <w:lang w:eastAsia="de-DE"/>
        </w:rPr>
      </w:pPr>
      <w:r>
        <w:rPr>
          <w:rFonts w:eastAsia="Times New Roman"/>
          <w:szCs w:val="28"/>
          <w:lang w:eastAsia="de-DE"/>
        </w:rPr>
        <w:t>First E. Author</w:t>
      </w:r>
      <w:r>
        <w:rPr>
          <w:rFonts w:eastAsia="Times New Roman"/>
          <w:szCs w:val="28"/>
          <w:vertAlign w:val="superscript"/>
          <w:lang w:eastAsia="de-DE"/>
        </w:rPr>
        <w:t>a</w:t>
      </w:r>
      <w:r>
        <w:rPr>
          <w:rFonts w:eastAsia="Times New Roman"/>
          <w:szCs w:val="28"/>
          <w:lang w:eastAsia="de-DE"/>
        </w:rPr>
        <w:t xml:space="preserve"> and Second R. Author</w:t>
      </w:r>
      <w:r>
        <w:rPr>
          <w:rFonts w:eastAsia="Times New Roman"/>
          <w:szCs w:val="28"/>
          <w:vertAlign w:val="superscript"/>
          <w:lang w:eastAsia="de-DE"/>
        </w:rPr>
        <w:t xml:space="preserve">b </w:t>
      </w:r>
      <w:r>
        <w:rPr>
          <w:rFonts w:eastAsia="Times New Roman"/>
          <w:szCs w:val="28"/>
          <w:lang w:eastAsia="de-DE"/>
        </w:rPr>
        <w:t>(12 pt)</w:t>
      </w:r>
    </w:p>
    <w:p>
      <w:pPr>
        <w:tabs>
          <w:tab w:val="left" w:pos="1190"/>
        </w:tabs>
        <w:spacing w:after="720" w:line="264" w:lineRule="auto"/>
        <w:contextualSpacing/>
        <w:jc w:val="center"/>
        <w:rPr>
          <w:rFonts w:eastAsia="Times New Roman"/>
          <w:sz w:val="18"/>
          <w:szCs w:val="18"/>
          <w:vertAlign w:val="superscript"/>
          <w:lang w:eastAsia="de-DE"/>
        </w:rPr>
      </w:pPr>
    </w:p>
    <w:p>
      <w:pPr>
        <w:tabs>
          <w:tab w:val="left" w:pos="1190"/>
        </w:tabs>
        <w:spacing w:after="720" w:line="264" w:lineRule="auto"/>
        <w:contextualSpacing/>
        <w:jc w:val="center"/>
        <w:rPr>
          <w:rFonts w:eastAsia="Times New Roman"/>
          <w:i/>
          <w:sz w:val="18"/>
          <w:szCs w:val="18"/>
          <w:lang w:eastAsia="de-DE"/>
        </w:rPr>
      </w:pPr>
      <w:r>
        <w:rPr>
          <w:rFonts w:eastAsia="Times New Roman"/>
          <w:i/>
          <w:sz w:val="18"/>
          <w:szCs w:val="18"/>
          <w:vertAlign w:val="superscript"/>
          <w:lang w:eastAsia="de-DE"/>
        </w:rPr>
        <w:t>a</w:t>
      </w:r>
      <w:r>
        <w:rPr>
          <w:rFonts w:eastAsia="Times New Roman"/>
          <w:i/>
          <w:sz w:val="18"/>
          <w:szCs w:val="18"/>
          <w:lang w:eastAsia="de-DE"/>
        </w:rPr>
        <w:t>Institute of Extraterrestrics, University of Jupiter (9 pt), E-mail: abc@def.edu.</w:t>
      </w:r>
    </w:p>
    <w:p>
      <w:pPr>
        <w:tabs>
          <w:tab w:val="left" w:pos="1190"/>
        </w:tabs>
        <w:spacing w:after="720" w:line="264" w:lineRule="auto"/>
        <w:contextualSpacing/>
        <w:jc w:val="center"/>
        <w:rPr>
          <w:rFonts w:eastAsia="Times New Roman"/>
          <w:i/>
          <w:sz w:val="18"/>
          <w:szCs w:val="18"/>
          <w:lang w:eastAsia="de-DE"/>
        </w:rPr>
      </w:pPr>
      <w:r>
        <w:rPr>
          <w:rFonts w:eastAsia="Times New Roman"/>
          <w:i/>
          <w:sz w:val="18"/>
          <w:szCs w:val="18"/>
          <w:vertAlign w:val="superscript"/>
          <w:lang w:eastAsia="de-DE"/>
        </w:rPr>
        <w:t>b</w:t>
      </w:r>
      <w:r>
        <w:rPr>
          <w:rFonts w:eastAsia="Times New Roman"/>
          <w:i/>
          <w:sz w:val="18"/>
          <w:szCs w:val="18"/>
          <w:lang w:eastAsia="de-DE"/>
        </w:rPr>
        <w:t>Software Development, Macrosoft Venus Inc., E-mail: abc1@def.edu.</w:t>
      </w:r>
    </w:p>
    <w:p>
      <w:pPr>
        <w:keepNext/>
        <w:tabs>
          <w:tab w:val="left" w:pos="851"/>
        </w:tabs>
        <w:spacing w:before="240" w:after="60"/>
        <w:ind w:right="-40"/>
        <w:outlineLvl w:val="0"/>
        <w:rPr>
          <w:rFonts w:eastAsia="Times New Roman"/>
          <w:b/>
          <w:kern w:val="28"/>
          <w:sz w:val="30"/>
          <w:szCs w:val="30"/>
          <w:lang w:eastAsia="de-DE"/>
        </w:rPr>
        <w:sectPr>
          <w:headerReference r:id="rId3" w:type="default"/>
          <w:pgSz w:w="12240" w:h="15840"/>
          <w:pgMar w:top="1854" w:right="1440" w:bottom="864" w:left="1728" w:header="720" w:footer="720" w:gutter="0"/>
          <w:cols w:space="720" w:num="1"/>
          <w:docGrid w:linePitch="360" w:charSpace="0"/>
        </w:sectPr>
      </w:pPr>
    </w:p>
    <w:p>
      <w:pPr>
        <w:keepNext/>
        <w:tabs>
          <w:tab w:val="left" w:pos="851"/>
        </w:tabs>
        <w:spacing w:before="240" w:after="60"/>
        <w:ind w:right="-40"/>
        <w:outlineLvl w:val="0"/>
        <w:rPr>
          <w:rFonts w:eastAsia="Times New Roman"/>
          <w:b/>
          <w:kern w:val="28"/>
          <w:sz w:val="30"/>
          <w:szCs w:val="30"/>
          <w:lang w:eastAsia="de-DE"/>
        </w:rPr>
      </w:pPr>
    </w:p>
    <w:p>
      <w:pPr>
        <w:keepNext/>
        <w:tabs>
          <w:tab w:val="left" w:pos="851"/>
        </w:tabs>
        <w:spacing w:before="240" w:after="60"/>
        <w:ind w:right="-40"/>
        <w:outlineLvl w:val="0"/>
        <w:rPr>
          <w:rFonts w:eastAsia="Times New Roman"/>
          <w:b/>
          <w:kern w:val="28"/>
          <w:sz w:val="30"/>
          <w:szCs w:val="30"/>
          <w:lang w:eastAsia="de-DE"/>
        </w:rPr>
        <w:sectPr>
          <w:type w:val="continuous"/>
          <w:pgSz w:w="12240" w:h="15840"/>
          <w:pgMar w:top="1854" w:right="1440" w:bottom="864" w:left="1728" w:header="720" w:footer="720" w:gutter="0"/>
          <w:cols w:space="720" w:num="1"/>
          <w:docGrid w:linePitch="360" w:charSpace="0"/>
        </w:sectPr>
      </w:pPr>
    </w:p>
    <w:p>
      <w:pPr>
        <w:keepNext/>
        <w:tabs>
          <w:tab w:val="left" w:pos="851"/>
        </w:tabs>
        <w:spacing w:before="240" w:after="60"/>
        <w:ind w:right="-40"/>
        <w:outlineLvl w:val="0"/>
        <w:rPr>
          <w:rFonts w:eastAsia="Times New Roman"/>
          <w:b/>
          <w:kern w:val="28"/>
          <w:sz w:val="28"/>
          <w:szCs w:val="28"/>
          <w:lang w:eastAsia="de-DE"/>
        </w:rPr>
      </w:pPr>
      <w:r>
        <w:rPr>
          <w:rFonts w:eastAsia="Times New Roman"/>
          <w:b/>
          <w:kern w:val="28"/>
          <w:sz w:val="28"/>
          <w:szCs w:val="28"/>
          <w:lang w:eastAsia="de-DE"/>
        </w:rPr>
        <w:t>Abstract (14 pt bold)</w:t>
      </w:r>
    </w:p>
    <w:p>
      <w:pPr>
        <w:spacing w:after="120" w:line="264" w:lineRule="auto"/>
        <w:contextualSpacing/>
        <w:jc w:val="both"/>
        <w:rPr>
          <w:rFonts w:eastAsia="Times New Roman"/>
          <w:lang w:eastAsia="de-DE"/>
        </w:rPr>
      </w:pPr>
      <w:r>
        <w:rPr>
          <w:rFonts w:eastAsia="Times New Roman"/>
          <w:lang w:eastAsia="de-DE"/>
        </w:rPr>
        <w:t>Please use the typeface Times New Roman throughout. General font size is 12 pt. Fonts for Title, Headings etc. are given in this document. The page size is A4, page margins are: top = 2.5 cm, bottom = 2.5 cm, left = 2.5 cm, right = 2.5 cm. Note that 2.5 cm equals 1 in. Please do not add any header/footer lines nor page numbers.</w:t>
      </w:r>
    </w:p>
    <w:p>
      <w:pPr>
        <w:spacing w:after="120" w:line="264" w:lineRule="auto"/>
        <w:contextualSpacing/>
        <w:jc w:val="both"/>
        <w:rPr>
          <w:rFonts w:eastAsia="Times New Roman"/>
          <w:lang w:eastAsia="de-DE"/>
        </w:rPr>
      </w:pPr>
      <w:r>
        <w:rPr>
          <w:rFonts w:eastAsia="Times New Roman"/>
          <w:lang w:eastAsia="de-DE"/>
        </w:rPr>
        <w:t>Equation numbers start at (1), Figures and pictures are labeled ”Figure” starting with Figure 1. Analogously for tables. Literature is referenced in square brackets [], e.g., the probability of failure can be computed as [1]</w:t>
      </w:r>
    </w:p>
    <w:p>
      <w:pPr>
        <w:spacing w:after="120" w:line="264" w:lineRule="auto"/>
        <w:contextualSpacing/>
        <w:jc w:val="both"/>
        <w:rPr>
          <w:rFonts w:eastAsia="Times New Roman"/>
          <w:lang w:eastAsia="de-DE"/>
        </w:rPr>
      </w:pPr>
    </w:p>
    <w:p>
      <w:pPr>
        <w:tabs>
          <w:tab w:val="center" w:pos="4111"/>
          <w:tab w:val="right" w:pos="8789"/>
        </w:tabs>
        <w:spacing w:after="120" w:line="264" w:lineRule="auto"/>
        <w:contextualSpacing/>
        <w:jc w:val="right"/>
        <w:rPr>
          <w:rFonts w:eastAsia="Times New Roman"/>
          <w:lang w:eastAsia="de-DE"/>
        </w:rPr>
      </w:pPr>
      <w:r>
        <w:rPr>
          <w:rFonts w:eastAsia="Times New Roman"/>
          <w:position w:val="-22"/>
          <w:lang w:eastAsia="de-DE"/>
        </w:rPr>
        <w:object>
          <v:shape id="_x0000_i1025" o:spt="75" type="#_x0000_t75" style="height:26.5pt;width:173.4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eastAsia="Times New Roman"/>
          <w:lang w:eastAsia="de-DE"/>
        </w:rPr>
        <w:tab/>
      </w:r>
      <w:r>
        <w:rPr>
          <w:rFonts w:eastAsia="Times New Roman"/>
          <w:lang w:eastAsia="de-DE"/>
        </w:rPr>
        <w:t>(1)</w:t>
      </w:r>
    </w:p>
    <w:p>
      <w:pPr>
        <w:spacing w:after="120" w:line="264" w:lineRule="auto"/>
        <w:contextualSpacing/>
        <w:jc w:val="both"/>
        <w:rPr>
          <w:rFonts w:eastAsia="Times New Roman"/>
          <w:lang w:eastAsia="de-DE"/>
        </w:rPr>
      </w:pPr>
    </w:p>
    <w:p>
      <w:pPr>
        <w:spacing w:after="120" w:line="264" w:lineRule="auto"/>
        <w:contextualSpacing/>
        <w:jc w:val="both"/>
        <w:rPr>
          <w:rFonts w:eastAsia="Times New Roman"/>
          <w:lang w:eastAsia="de-DE"/>
        </w:rPr>
      </w:pPr>
      <w:r>
        <w:rPr>
          <w:rFonts w:eastAsia="Times New Roman"/>
          <w:lang w:eastAsia="de-DE"/>
        </w:rPr>
        <w:t xml:space="preserve">References should be </w:t>
      </w:r>
      <w:r>
        <w:rPr>
          <w:rFonts w:hint="eastAsia"/>
          <w:lang w:val="en-US" w:eastAsia="zh-CN"/>
        </w:rPr>
        <w:t>listed in</w:t>
      </w:r>
      <w:r>
        <w:rPr>
          <w:rFonts w:eastAsia="Times New Roman"/>
          <w:lang w:eastAsia="de-DE"/>
        </w:rPr>
        <w:t xml:space="preserve"> alphabetical</w:t>
      </w:r>
      <w:r>
        <w:rPr>
          <w:rFonts w:hint="eastAsia"/>
          <w:lang w:val="en-US" w:eastAsia="zh-CN"/>
        </w:rPr>
        <w:t xml:space="preserve"> order</w:t>
      </w:r>
      <w:bookmarkStart w:id="0" w:name="_GoBack"/>
      <w:bookmarkEnd w:id="0"/>
      <w:r>
        <w:rPr>
          <w:rFonts w:eastAsia="Times New Roman"/>
          <w:lang w:eastAsia="de-DE"/>
        </w:rPr>
        <w:t xml:space="preserve"> by last name of the first author.</w:t>
      </w:r>
    </w:p>
    <w:p>
      <w:pPr>
        <w:keepNext/>
        <w:spacing w:after="120" w:line="264" w:lineRule="auto"/>
        <w:contextualSpacing/>
        <w:jc w:val="center"/>
        <w:rPr>
          <w:rFonts w:eastAsia="Times New Roman"/>
          <w:lang w:val="en-GB" w:eastAsia="de-DE"/>
        </w:rPr>
      </w:pPr>
      <w:r>
        <w:rPr>
          <w:rFonts w:eastAsia="Times New Roman"/>
        </w:rPr>
        <w:drawing>
          <wp:inline distT="0" distB="0" distL="0" distR="0">
            <wp:extent cx="2627630" cy="165798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27630" cy="1657985"/>
                    </a:xfrm>
                    <a:prstGeom prst="rect">
                      <a:avLst/>
                    </a:prstGeom>
                    <a:noFill/>
                  </pic:spPr>
                </pic:pic>
              </a:graphicData>
            </a:graphic>
          </wp:inline>
        </w:drawing>
      </w:r>
    </w:p>
    <w:p>
      <w:pPr>
        <w:spacing w:after="200"/>
        <w:jc w:val="center"/>
        <w:rPr>
          <w:i/>
          <w:iCs/>
          <w:sz w:val="21"/>
          <w:szCs w:val="18"/>
        </w:rPr>
      </w:pPr>
      <w:r>
        <w:rPr>
          <w:rFonts w:eastAsia="Times New Roman"/>
          <w:i/>
          <w:iCs/>
          <w:sz w:val="21"/>
          <w:szCs w:val="18"/>
          <w:lang w:eastAsia="de-DE"/>
        </w:rPr>
        <w:t xml:space="preserve">Figure </w:t>
      </w:r>
      <w:r>
        <w:rPr>
          <w:rFonts w:eastAsia="Times New Roman"/>
          <w:i/>
          <w:iCs/>
          <w:sz w:val="21"/>
          <w:szCs w:val="18"/>
          <w:lang w:val="de-DE" w:eastAsia="de-DE"/>
        </w:rPr>
        <w:fldChar w:fldCharType="begin"/>
      </w:r>
      <w:r>
        <w:rPr>
          <w:rFonts w:eastAsia="Times New Roman"/>
          <w:i/>
          <w:iCs/>
          <w:sz w:val="21"/>
          <w:szCs w:val="18"/>
          <w:lang w:eastAsia="de-DE"/>
        </w:rPr>
        <w:instrText xml:space="preserve"> SEQ Figure \* ARABIC </w:instrText>
      </w:r>
      <w:r>
        <w:rPr>
          <w:rFonts w:eastAsia="Times New Roman"/>
          <w:i/>
          <w:iCs/>
          <w:sz w:val="21"/>
          <w:szCs w:val="18"/>
          <w:lang w:val="de-DE" w:eastAsia="de-DE"/>
        </w:rPr>
        <w:fldChar w:fldCharType="separate"/>
      </w:r>
      <w:r>
        <w:rPr>
          <w:rFonts w:eastAsia="Times New Roman"/>
          <w:i/>
          <w:iCs/>
          <w:sz w:val="21"/>
          <w:szCs w:val="18"/>
          <w:lang w:eastAsia="de-DE"/>
        </w:rPr>
        <w:t>1</w:t>
      </w:r>
      <w:r>
        <w:rPr>
          <w:rFonts w:eastAsia="Times New Roman"/>
          <w:i/>
          <w:iCs/>
          <w:sz w:val="21"/>
          <w:szCs w:val="18"/>
          <w:lang w:val="de-DE" w:eastAsia="de-DE"/>
        </w:rPr>
        <w:fldChar w:fldCharType="end"/>
      </w:r>
      <w:r>
        <w:rPr>
          <w:rFonts w:eastAsia="Times New Roman"/>
          <w:i/>
          <w:iCs/>
          <w:sz w:val="21"/>
          <w:szCs w:val="18"/>
          <w:lang w:eastAsia="de-DE"/>
        </w:rPr>
        <w:t xml:space="preserve">. </w:t>
      </w:r>
      <w:r>
        <w:rPr>
          <w:i/>
          <w:iCs/>
          <w:sz w:val="21"/>
          <w:szCs w:val="18"/>
        </w:rPr>
        <w:t>Numbering centers of tangent circles</w:t>
      </w:r>
    </w:p>
    <w:p>
      <w:pPr>
        <w:spacing w:after="120" w:line="264" w:lineRule="auto"/>
        <w:contextualSpacing/>
        <w:jc w:val="center"/>
        <w:rPr>
          <w:rFonts w:eastAsia="Times New Roman"/>
          <w:lang w:eastAsia="de-DE"/>
        </w:rPr>
      </w:pPr>
    </w:p>
    <w:p>
      <w:pPr>
        <w:spacing w:after="120" w:line="264" w:lineRule="auto"/>
        <w:contextualSpacing/>
        <w:jc w:val="both"/>
        <w:rPr>
          <w:rFonts w:eastAsiaTheme="minorEastAsia"/>
        </w:rPr>
      </w:pPr>
      <w:r>
        <w:rPr>
          <w:rFonts w:eastAsiaTheme="minorEastAsia"/>
          <w:b/>
          <w:bCs/>
        </w:rPr>
        <w:t>Key words</w:t>
      </w:r>
      <w:r>
        <w:rPr>
          <w:rFonts w:eastAsiaTheme="minorEastAsia"/>
        </w:rPr>
        <w:t>: abc; edf; ghi</w:t>
      </w:r>
    </w:p>
    <w:p>
      <w:pPr>
        <w:spacing w:after="120" w:line="264" w:lineRule="auto"/>
        <w:contextualSpacing/>
        <w:jc w:val="both"/>
        <w:rPr>
          <w:rFonts w:eastAsia="Times New Roman"/>
          <w:lang w:eastAsia="de-DE"/>
        </w:rPr>
      </w:pPr>
    </w:p>
    <w:p>
      <w:pPr>
        <w:spacing w:after="120" w:line="264" w:lineRule="auto"/>
        <w:contextualSpacing/>
        <w:jc w:val="both"/>
        <w:rPr>
          <w:rFonts w:eastAsia="Times New Roman"/>
          <w:lang w:eastAsia="de-DE"/>
        </w:rPr>
      </w:pPr>
      <w:r>
        <w:rPr>
          <w:rFonts w:eastAsia="Times New Roman"/>
          <w:lang w:eastAsia="de-DE"/>
        </w:rPr>
        <w:t xml:space="preserve">Please note: The abstract is limited in ONE page and must be uploaded in WORD format. </w:t>
      </w:r>
    </w:p>
    <w:p>
      <w:pPr>
        <w:spacing w:after="120" w:line="264" w:lineRule="auto"/>
        <w:contextualSpacing/>
        <w:jc w:val="both"/>
        <w:rPr>
          <w:rFonts w:eastAsia="Times New Roman"/>
          <w:lang w:eastAsia="de-DE"/>
        </w:rPr>
      </w:pPr>
    </w:p>
    <w:p>
      <w:pPr>
        <w:keepNext/>
        <w:tabs>
          <w:tab w:val="left" w:pos="851"/>
        </w:tabs>
        <w:spacing w:before="240" w:after="60"/>
        <w:ind w:right="-40"/>
        <w:outlineLvl w:val="0"/>
        <w:rPr>
          <w:rFonts w:eastAsia="Times New Roman"/>
          <w:b/>
          <w:kern w:val="28"/>
          <w:sz w:val="28"/>
          <w:szCs w:val="28"/>
          <w:lang w:eastAsia="de-DE"/>
        </w:rPr>
      </w:pPr>
      <w:r>
        <w:rPr>
          <w:rFonts w:eastAsia="Times New Roman"/>
          <w:b/>
          <w:kern w:val="28"/>
          <w:sz w:val="28"/>
          <w:szCs w:val="28"/>
          <w:lang w:eastAsia="de-DE"/>
        </w:rPr>
        <w:t>References (14 pt bold)</w:t>
      </w:r>
    </w:p>
    <w:p>
      <w:pPr>
        <w:pStyle w:val="18"/>
        <w:numPr>
          <w:ilvl w:val="0"/>
          <w:numId w:val="1"/>
        </w:numPr>
        <w:spacing w:after="120"/>
        <w:ind w:firstLineChars="0"/>
        <w:jc w:val="both"/>
        <w:rPr>
          <w:rFonts w:eastAsia="Times New Roman"/>
          <w:sz w:val="21"/>
          <w:lang w:eastAsia="de-DE"/>
        </w:rPr>
      </w:pPr>
      <w:r>
        <w:rPr>
          <w:rFonts w:eastAsia="Times New Roman"/>
          <w:sz w:val="21"/>
          <w:lang w:eastAsia="de-DE"/>
        </w:rPr>
        <w:t xml:space="preserve">Der Kiureghian, A. and Dakessian, T., 1998 Multiple design points in first and second-order reliability. </w:t>
      </w:r>
      <w:r>
        <w:rPr>
          <w:rFonts w:eastAsia="Times New Roman"/>
          <w:i/>
          <w:sz w:val="21"/>
          <w:lang w:eastAsia="de-DE"/>
        </w:rPr>
        <w:t>Structural Safety</w:t>
      </w:r>
      <w:r>
        <w:rPr>
          <w:rFonts w:eastAsia="Times New Roman"/>
          <w:sz w:val="21"/>
          <w:lang w:eastAsia="de-DE"/>
        </w:rPr>
        <w:t>, 20(1): 37-49.</w:t>
      </w:r>
    </w:p>
    <w:p>
      <w:pPr>
        <w:pStyle w:val="18"/>
        <w:numPr>
          <w:ilvl w:val="0"/>
          <w:numId w:val="1"/>
        </w:numPr>
        <w:spacing w:after="120"/>
        <w:ind w:firstLineChars="0"/>
        <w:jc w:val="both"/>
        <w:rPr>
          <w:rFonts w:eastAsia="Times New Roman"/>
          <w:sz w:val="21"/>
          <w:lang w:eastAsia="de-DE"/>
        </w:rPr>
      </w:pPr>
      <w:r>
        <w:rPr>
          <w:rFonts w:eastAsia="Times New Roman"/>
          <w:sz w:val="21"/>
          <w:lang w:eastAsia="de-DE"/>
        </w:rPr>
        <w:t xml:space="preserve">Ditlevsen, O. and Madsen, H.O., 1996. </w:t>
      </w:r>
      <w:r>
        <w:rPr>
          <w:rFonts w:eastAsia="Times New Roman"/>
          <w:i/>
          <w:sz w:val="21"/>
          <w:lang w:eastAsia="de-DE"/>
        </w:rPr>
        <w:t>Structural Reliability Methods</w:t>
      </w:r>
      <w:r>
        <w:rPr>
          <w:rFonts w:eastAsia="Times New Roman"/>
          <w:sz w:val="21"/>
          <w:lang w:eastAsia="de-DE"/>
        </w:rPr>
        <w:t>. John Wiley &amp; Sons, New York.</w:t>
      </w:r>
    </w:p>
    <w:p>
      <w:pPr>
        <w:pStyle w:val="18"/>
        <w:numPr>
          <w:ilvl w:val="0"/>
          <w:numId w:val="1"/>
        </w:numPr>
        <w:spacing w:after="120"/>
        <w:ind w:firstLineChars="0"/>
        <w:jc w:val="both"/>
        <w:rPr>
          <w:rFonts w:eastAsia="Times New Roman"/>
          <w:sz w:val="21"/>
          <w:lang w:eastAsia="de-DE"/>
        </w:rPr>
      </w:pPr>
      <w:r>
        <w:rPr>
          <w:rFonts w:eastAsia="Times New Roman"/>
          <w:sz w:val="21"/>
          <w:lang w:eastAsia="de-DE"/>
        </w:rPr>
        <w:t xml:space="preserve">Valdebenito, M.A., Jensen, H.A., Schuëller, G.I. and Labarca, A.A., 2012. Reliability analysis of linear dynamical systems with uncertain structural parameters subject to discrete white noise excitation. </w:t>
      </w:r>
      <w:r>
        <w:rPr>
          <w:rFonts w:eastAsia="Times New Roman"/>
          <w:i/>
          <w:sz w:val="21"/>
          <w:lang w:eastAsia="de-DE"/>
        </w:rPr>
        <w:t>The 6th European Congress on Computational Methods in Applied Sciences and Engineering (ECCOMAS 2012)</w:t>
      </w:r>
      <w:r>
        <w:rPr>
          <w:rFonts w:eastAsia="Times New Roman"/>
          <w:sz w:val="21"/>
          <w:lang w:eastAsia="de-DE"/>
        </w:rPr>
        <w:t>, Vienna, Austria.</w:t>
      </w:r>
    </w:p>
    <w:p>
      <w:pPr>
        <w:pStyle w:val="18"/>
        <w:numPr>
          <w:ilvl w:val="0"/>
          <w:numId w:val="1"/>
        </w:numPr>
        <w:spacing w:after="120"/>
        <w:ind w:firstLineChars="0"/>
        <w:jc w:val="both"/>
        <w:rPr>
          <w:rFonts w:eastAsia="Times New Roman"/>
          <w:sz w:val="21"/>
          <w:lang w:eastAsia="de-DE"/>
        </w:rPr>
      </w:pPr>
      <w:r>
        <w:rPr>
          <w:rFonts w:eastAsia="Times New Roman"/>
          <w:sz w:val="21"/>
          <w:lang w:eastAsia="de-DE"/>
        </w:rPr>
        <w:t xml:space="preserve">Bucher, C., 2009. Computational analysis of randomness in structural mechanics. In D.M. Frangopol (Ed.), </w:t>
      </w:r>
      <w:r>
        <w:rPr>
          <w:rFonts w:eastAsia="Times New Roman"/>
          <w:i/>
          <w:sz w:val="21"/>
          <w:lang w:eastAsia="de-DE"/>
        </w:rPr>
        <w:t>Structures and Infrastructures Book Series</w:t>
      </w:r>
      <w:r>
        <w:rPr>
          <w:rFonts w:eastAsia="Times New Roman"/>
          <w:sz w:val="21"/>
          <w:lang w:eastAsia="de-DE"/>
        </w:rPr>
        <w:t>,</w:t>
      </w:r>
      <w:r>
        <w:rPr>
          <w:rFonts w:eastAsia="Times New Roman"/>
          <w:i/>
          <w:sz w:val="21"/>
          <w:lang w:eastAsia="de-DE"/>
        </w:rPr>
        <w:t xml:space="preserve"> Vol. 3</w:t>
      </w:r>
      <w:r>
        <w:rPr>
          <w:rFonts w:eastAsia="Times New Roman"/>
          <w:sz w:val="21"/>
          <w:lang w:eastAsia="de-DE"/>
        </w:rPr>
        <w:t>, Taylor &amp; Francis, London, pp. xxx-xxx.</w:t>
      </w:r>
    </w:p>
    <w:p>
      <w:pPr>
        <w:jc w:val="both"/>
        <w:rPr>
          <w:rFonts w:ascii="Calibri" w:hAnsi="Calibri"/>
        </w:rPr>
        <w:sectPr>
          <w:type w:val="continuous"/>
          <w:pgSz w:w="12240" w:h="15840"/>
          <w:pgMar w:top="1854" w:right="1440" w:bottom="864" w:left="1728" w:header="720" w:footer="720" w:gutter="0"/>
          <w:cols w:space="720" w:num="2"/>
          <w:docGrid w:linePitch="360" w:charSpace="0"/>
        </w:sectPr>
      </w:pPr>
    </w:p>
    <w:p>
      <w:pPr>
        <w:jc w:val="both"/>
        <w:rPr>
          <w:rFonts w:ascii="Calibri" w:hAnsi="Calibri"/>
        </w:rPr>
      </w:pPr>
    </w:p>
    <w:sectPr>
      <w:type w:val="continuous"/>
      <w:pgSz w:w="12240" w:h="15840"/>
      <w:pgMar w:top="1854" w:right="1440" w:bottom="864" w:left="172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Arial">
    <w:panose1 w:val="020B0604020202020204"/>
    <w:charset w:val="00"/>
    <w:family w:val="swiss"/>
    <w:pitch w:val="default"/>
    <w:sig w:usb0="E0002AFF" w:usb1="C0007843" w:usb2="00000009" w:usb3="00000000" w:csb0="400001FF" w:csb1="FFFF0000"/>
  </w:font>
  <w:font w:name="Adobe Gothic Std B">
    <w:altName w:val="Times New Roman"/>
    <w:panose1 w:val="00000000000000000000"/>
    <w:charset w:val="00"/>
    <w:family w:val="roman"/>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62336" behindDoc="0" locked="0" layoutInCell="1" allowOverlap="1">
          <wp:simplePos x="0" y="0"/>
          <wp:positionH relativeFrom="column">
            <wp:posOffset>3540760</wp:posOffset>
          </wp:positionH>
          <wp:positionV relativeFrom="paragraph">
            <wp:posOffset>-251460</wp:posOffset>
          </wp:positionV>
          <wp:extent cx="1871980" cy="331470"/>
          <wp:effectExtent l="0" t="0" r="0" b="0"/>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
                    <a:extLst>
                      <a:ext uri="{28A0092B-C50C-407E-A947-70E740481C1C}">
                        <a14:useLocalDpi xmlns:a14="http://schemas.microsoft.com/office/drawing/2010/main" val="0"/>
                      </a:ext>
                    </a:extLst>
                  </a:blip>
                  <a:srcRect t="31467" b="17743"/>
                  <a:stretch>
                    <a:fillRect/>
                  </a:stretch>
                </pic:blipFill>
                <pic:spPr>
                  <a:xfrm>
                    <a:off x="0" y="0"/>
                    <a:ext cx="1873250" cy="331549"/>
                  </a:xfrm>
                  <a:prstGeom prst="rect">
                    <a:avLst/>
                  </a:prstGeom>
                  <a:ln>
                    <a:noFill/>
                  </a:ln>
                </pic:spPr>
              </pic:pic>
            </a:graphicData>
          </a:graphic>
        </wp:anchor>
      </w:drawing>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45720</wp:posOffset>
              </wp:positionV>
              <wp:extent cx="3026410" cy="246380"/>
              <wp:effectExtent l="0" t="0" r="0" b="0"/>
              <wp:wrapNone/>
              <wp:docPr id="19" name="矩形 23"/>
              <wp:cNvGraphicFramePr/>
              <a:graphic xmlns:a="http://schemas.openxmlformats.org/drawingml/2006/main">
                <a:graphicData uri="http://schemas.microsoft.com/office/word/2010/wordprocessingShape">
                  <wps:wsp>
                    <wps:cNvSpPr>
                      <a:spLocks noChangeArrowheads="1"/>
                    </wps:cNvSpPr>
                    <wps:spPr bwMode="auto">
                      <a:xfrm>
                        <a:off x="0" y="0"/>
                        <a:ext cx="3026244" cy="246380"/>
                      </a:xfrm>
                      <a:prstGeom prst="rect">
                        <a:avLst/>
                      </a:prstGeom>
                      <a:noFill/>
                      <a:ln>
                        <a:noFill/>
                      </a:ln>
                    </wps:spPr>
                    <wps:txbx>
                      <w:txbxContent>
                        <w:p>
                          <w:pPr>
                            <w:pStyle w:val="6"/>
                            <w:spacing w:before="0" w:beforeAutospacing="0" w:after="0" w:afterAutospacing="0"/>
                            <w:jc w:val="right"/>
                            <w:rPr>
                              <w:rFonts w:ascii="Arial" w:hAnsi="Arial" w:cs="Arial" w:eastAsiaTheme="minorEastAsia"/>
                              <w:bCs/>
                              <w:i/>
                              <w:color w:val="3333CC"/>
                              <w:kern w:val="24"/>
                              <w:sz w:val="20"/>
                              <w:szCs w:val="20"/>
                            </w:rPr>
                          </w:pPr>
                          <w:r>
                            <w:rPr>
                              <w:rFonts w:ascii="Arial" w:hAnsi="Arial" w:cs="Arial" w:eastAsiaTheme="minorEastAsia"/>
                              <w:bCs/>
                              <w:i/>
                              <w:color w:val="3333CC"/>
                              <w:kern w:val="24"/>
                              <w:sz w:val="20"/>
                              <w:szCs w:val="20"/>
                            </w:rPr>
                            <w:t xml:space="preserve">The 13th International Conference on Structural Safety and Reliability (ICOSSAR 2021), </w:t>
                          </w:r>
                        </w:p>
                        <w:p>
                          <w:pPr>
                            <w:pStyle w:val="6"/>
                            <w:spacing w:before="0" w:beforeAutospacing="0" w:after="0" w:afterAutospacing="0"/>
                            <w:jc w:val="right"/>
                            <w:rPr>
                              <w:rFonts w:ascii="Arial" w:hAnsi="Arial" w:eastAsia="Adobe Gothic Std B" w:cs="Arial"/>
                              <w:bCs/>
                              <w:i/>
                              <w:color w:val="3333CC"/>
                              <w:kern w:val="24"/>
                              <w:sz w:val="20"/>
                              <w:szCs w:val="20"/>
                            </w:rPr>
                          </w:pPr>
                          <w:r>
                            <w:rPr>
                              <w:rFonts w:ascii="Arial" w:hAnsi="Arial" w:eastAsia="Adobe Gothic Std B" w:cs="Arial"/>
                              <w:bCs/>
                              <w:i/>
                              <w:color w:val="3333CC"/>
                              <w:kern w:val="24"/>
                              <w:sz w:val="20"/>
                              <w:szCs w:val="20"/>
                            </w:rPr>
                            <w:t>June 21-25, 2021, Shanghai, P.R. China</w:t>
                          </w:r>
                        </w:p>
                        <w:p>
                          <w:pPr>
                            <w:pStyle w:val="6"/>
                            <w:spacing w:before="0" w:beforeAutospacing="0" w:after="0" w:afterAutospacing="0"/>
                            <w:jc w:val="right"/>
                            <w:rPr>
                              <w:rFonts w:ascii="Arial" w:hAnsi="Arial" w:cs="Arial" w:eastAsiaTheme="minorEastAsia"/>
                              <w:i/>
                            </w:rPr>
                          </w:pPr>
                          <w:r>
                            <w:rPr>
                              <w:rFonts w:ascii="Arial" w:hAnsi="Arial" w:cs="Arial" w:eastAsiaTheme="minorEastAsia"/>
                              <w:bCs/>
                              <w:i/>
                              <w:color w:val="3333CC"/>
                              <w:kern w:val="24"/>
                              <w:sz w:val="20"/>
                              <w:szCs w:val="20"/>
                            </w:rPr>
                            <w:t>J. Li, Pol D. Spanos, J.B. Chen &amp; Y.B. Peng (Eds)</w:t>
                          </w:r>
                        </w:p>
                      </w:txbxContent>
                    </wps:txbx>
                    <wps:bodyPr wrap="square">
                      <a:spAutoFit/>
                    </wps:bodyPr>
                  </wps:wsp>
                </a:graphicData>
              </a:graphic>
            </wp:anchor>
          </w:drawing>
        </mc:Choice>
        <mc:Fallback>
          <w:pict>
            <v:rect id="矩形 23" o:spid="_x0000_s1026" o:spt="1" style="position:absolute;left:0pt;margin-top:3.6pt;height:19.4pt;width:238.3pt;mso-position-horizontal:right;mso-position-horizontal-relative:margin;z-index:251659264;mso-width-relative:page;mso-height-relative:page;" filled="f" stroked="f" coordsize="21600,21600" o:gfxdata="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xUmdUAAAAFAQAADwAAAAAAAAABACAAAAAiAAAAZHJzL2Rvd25yZXYueG1sUEsBAhQA&#10;FAAAAAgAh07iQKH8ScO8AQAATwMAAA4AAAAAAAAAAQAgAAAAJAEAAGRycy9lMm9Eb2MueG1sUEsF&#10;BgAAAAAGAAYAWQEAAFIFAAAAAA==&#10;">
              <v:fill on="f" focussize="0,0"/>
              <v:stroke on="f"/>
              <v:imagedata o:title=""/>
              <o:lock v:ext="edit" aspectratio="f"/>
              <v:textbox style="mso-fit-shape-to-text:t;">
                <w:txbxContent>
                  <w:p>
                    <w:pPr>
                      <w:pStyle w:val="6"/>
                      <w:spacing w:before="0" w:beforeAutospacing="0" w:after="0" w:afterAutospacing="0"/>
                      <w:jc w:val="right"/>
                      <w:rPr>
                        <w:rFonts w:ascii="Arial" w:hAnsi="Arial" w:cs="Arial" w:eastAsiaTheme="minorEastAsia"/>
                        <w:bCs/>
                        <w:i/>
                        <w:color w:val="3333CC"/>
                        <w:kern w:val="24"/>
                        <w:sz w:val="20"/>
                        <w:szCs w:val="20"/>
                      </w:rPr>
                    </w:pPr>
                    <w:r>
                      <w:rPr>
                        <w:rFonts w:ascii="Arial" w:hAnsi="Arial" w:cs="Arial" w:eastAsiaTheme="minorEastAsia"/>
                        <w:bCs/>
                        <w:i/>
                        <w:color w:val="3333CC"/>
                        <w:kern w:val="24"/>
                        <w:sz w:val="20"/>
                        <w:szCs w:val="20"/>
                      </w:rPr>
                      <w:t xml:space="preserve">The 13th International Conference on Structural Safety and Reliability (ICOSSAR 2021), </w:t>
                    </w:r>
                  </w:p>
                  <w:p>
                    <w:pPr>
                      <w:pStyle w:val="6"/>
                      <w:spacing w:before="0" w:beforeAutospacing="0" w:after="0" w:afterAutospacing="0"/>
                      <w:jc w:val="right"/>
                      <w:rPr>
                        <w:rFonts w:ascii="Arial" w:hAnsi="Arial" w:eastAsia="Adobe Gothic Std B" w:cs="Arial"/>
                        <w:bCs/>
                        <w:i/>
                        <w:color w:val="3333CC"/>
                        <w:kern w:val="24"/>
                        <w:sz w:val="20"/>
                        <w:szCs w:val="20"/>
                      </w:rPr>
                    </w:pPr>
                    <w:r>
                      <w:rPr>
                        <w:rFonts w:ascii="Arial" w:hAnsi="Arial" w:eastAsia="Adobe Gothic Std B" w:cs="Arial"/>
                        <w:bCs/>
                        <w:i/>
                        <w:color w:val="3333CC"/>
                        <w:kern w:val="24"/>
                        <w:sz w:val="20"/>
                        <w:szCs w:val="20"/>
                      </w:rPr>
                      <w:t>June 21-25, 2021, Shanghai, P.R. China</w:t>
                    </w:r>
                  </w:p>
                  <w:p>
                    <w:pPr>
                      <w:pStyle w:val="6"/>
                      <w:spacing w:before="0" w:beforeAutospacing="0" w:after="0" w:afterAutospacing="0"/>
                      <w:jc w:val="right"/>
                      <w:rPr>
                        <w:rFonts w:ascii="Arial" w:hAnsi="Arial" w:cs="Arial" w:eastAsiaTheme="minorEastAsia"/>
                        <w:i/>
                      </w:rPr>
                    </w:pPr>
                    <w:r>
                      <w:rPr>
                        <w:rFonts w:ascii="Arial" w:hAnsi="Arial" w:cs="Arial" w:eastAsiaTheme="minorEastAsia"/>
                        <w:bCs/>
                        <w:i/>
                        <w:color w:val="3333CC"/>
                        <w:kern w:val="24"/>
                        <w:sz w:val="20"/>
                        <w:szCs w:val="20"/>
                      </w:rPr>
                      <w:t>J. Li, Pol D. Spanos, J.B. Chen &amp; Y.B. Peng (Eds)</w:t>
                    </w:r>
                  </w:p>
                </w:txbxContent>
              </v:textbox>
            </v:rect>
          </w:pict>
        </mc:Fallback>
      </mc:AlternateContent>
    </w:r>
    <w:r>
      <w:drawing>
        <wp:anchor distT="0" distB="0" distL="114300" distR="114300" simplePos="0" relativeHeight="251660288" behindDoc="0" locked="0" layoutInCell="1" allowOverlap="1">
          <wp:simplePos x="0" y="0"/>
          <wp:positionH relativeFrom="column">
            <wp:posOffset>92710</wp:posOffset>
          </wp:positionH>
          <wp:positionV relativeFrom="paragraph">
            <wp:posOffset>-269875</wp:posOffset>
          </wp:positionV>
          <wp:extent cx="1778000" cy="918210"/>
          <wp:effectExtent l="0" t="0" r="0" b="0"/>
          <wp:wrapNone/>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78000" cy="91821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F2D72"/>
    <w:multiLevelType w:val="multilevel"/>
    <w:tmpl w:val="509F2D7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E0"/>
    <w:rsid w:val="00011D30"/>
    <w:rsid w:val="00015240"/>
    <w:rsid w:val="00026AC7"/>
    <w:rsid w:val="00051139"/>
    <w:rsid w:val="0007578D"/>
    <w:rsid w:val="00076A1B"/>
    <w:rsid w:val="00092AAA"/>
    <w:rsid w:val="00093C47"/>
    <w:rsid w:val="00095E3A"/>
    <w:rsid w:val="000A5629"/>
    <w:rsid w:val="000A695A"/>
    <w:rsid w:val="000B3C01"/>
    <w:rsid w:val="000B7FEF"/>
    <w:rsid w:val="000C2FFF"/>
    <w:rsid w:val="000D0B44"/>
    <w:rsid w:val="000E50EF"/>
    <w:rsid w:val="000E5A5A"/>
    <w:rsid w:val="000F24F2"/>
    <w:rsid w:val="00123577"/>
    <w:rsid w:val="001372A7"/>
    <w:rsid w:val="00145CE9"/>
    <w:rsid w:val="00165492"/>
    <w:rsid w:val="00190E4F"/>
    <w:rsid w:val="0019627B"/>
    <w:rsid w:val="001A0ABE"/>
    <w:rsid w:val="001B3A84"/>
    <w:rsid w:val="001B592C"/>
    <w:rsid w:val="001C1054"/>
    <w:rsid w:val="001C736B"/>
    <w:rsid w:val="00223906"/>
    <w:rsid w:val="00226100"/>
    <w:rsid w:val="002647C3"/>
    <w:rsid w:val="00267D08"/>
    <w:rsid w:val="00275A54"/>
    <w:rsid w:val="00276BA2"/>
    <w:rsid w:val="00286FB6"/>
    <w:rsid w:val="00295EE6"/>
    <w:rsid w:val="002B64F3"/>
    <w:rsid w:val="002C3B8D"/>
    <w:rsid w:val="002C471D"/>
    <w:rsid w:val="002D1A59"/>
    <w:rsid w:val="002F1B58"/>
    <w:rsid w:val="00302342"/>
    <w:rsid w:val="00323130"/>
    <w:rsid w:val="0032535E"/>
    <w:rsid w:val="00334B94"/>
    <w:rsid w:val="003379AA"/>
    <w:rsid w:val="0035342E"/>
    <w:rsid w:val="003542A8"/>
    <w:rsid w:val="0035761F"/>
    <w:rsid w:val="003707F9"/>
    <w:rsid w:val="0037396F"/>
    <w:rsid w:val="003952E0"/>
    <w:rsid w:val="003B0FBB"/>
    <w:rsid w:val="003C3E14"/>
    <w:rsid w:val="003D05FB"/>
    <w:rsid w:val="003E109C"/>
    <w:rsid w:val="004060FD"/>
    <w:rsid w:val="00477ADA"/>
    <w:rsid w:val="00497BA8"/>
    <w:rsid w:val="004A0AE8"/>
    <w:rsid w:val="004B268D"/>
    <w:rsid w:val="004B6E88"/>
    <w:rsid w:val="004B7D7D"/>
    <w:rsid w:val="004C5F38"/>
    <w:rsid w:val="004C718D"/>
    <w:rsid w:val="004F22C7"/>
    <w:rsid w:val="004F411E"/>
    <w:rsid w:val="0050171D"/>
    <w:rsid w:val="00514137"/>
    <w:rsid w:val="00517020"/>
    <w:rsid w:val="00540B3D"/>
    <w:rsid w:val="00544250"/>
    <w:rsid w:val="005B50C8"/>
    <w:rsid w:val="005B7B58"/>
    <w:rsid w:val="005D3BA5"/>
    <w:rsid w:val="005D3FE9"/>
    <w:rsid w:val="005E080C"/>
    <w:rsid w:val="00600FA7"/>
    <w:rsid w:val="00607CC7"/>
    <w:rsid w:val="006155F7"/>
    <w:rsid w:val="0062709E"/>
    <w:rsid w:val="00631B80"/>
    <w:rsid w:val="006442F3"/>
    <w:rsid w:val="006512F3"/>
    <w:rsid w:val="00651AEE"/>
    <w:rsid w:val="0065554E"/>
    <w:rsid w:val="00657CD6"/>
    <w:rsid w:val="00662673"/>
    <w:rsid w:val="00670F52"/>
    <w:rsid w:val="00672FA8"/>
    <w:rsid w:val="006934EE"/>
    <w:rsid w:val="006A03F4"/>
    <w:rsid w:val="006A15E8"/>
    <w:rsid w:val="006C2986"/>
    <w:rsid w:val="006D4AC5"/>
    <w:rsid w:val="006F3E4D"/>
    <w:rsid w:val="0070193B"/>
    <w:rsid w:val="0071627D"/>
    <w:rsid w:val="00761361"/>
    <w:rsid w:val="00783165"/>
    <w:rsid w:val="007869C8"/>
    <w:rsid w:val="00787477"/>
    <w:rsid w:val="00796EF1"/>
    <w:rsid w:val="007A4395"/>
    <w:rsid w:val="007C48A7"/>
    <w:rsid w:val="007D4926"/>
    <w:rsid w:val="007F612C"/>
    <w:rsid w:val="00802D1C"/>
    <w:rsid w:val="00807EB1"/>
    <w:rsid w:val="008245A0"/>
    <w:rsid w:val="00827F40"/>
    <w:rsid w:val="0083292A"/>
    <w:rsid w:val="0084049F"/>
    <w:rsid w:val="00843B22"/>
    <w:rsid w:val="00850573"/>
    <w:rsid w:val="008B0179"/>
    <w:rsid w:val="008B3467"/>
    <w:rsid w:val="008C574B"/>
    <w:rsid w:val="008E0C65"/>
    <w:rsid w:val="008F5510"/>
    <w:rsid w:val="009057A2"/>
    <w:rsid w:val="00910319"/>
    <w:rsid w:val="009114BE"/>
    <w:rsid w:val="00976F47"/>
    <w:rsid w:val="00984810"/>
    <w:rsid w:val="00994C58"/>
    <w:rsid w:val="009B259D"/>
    <w:rsid w:val="009B2FE5"/>
    <w:rsid w:val="009D2D06"/>
    <w:rsid w:val="009E3758"/>
    <w:rsid w:val="00A22168"/>
    <w:rsid w:val="00A27134"/>
    <w:rsid w:val="00A910E3"/>
    <w:rsid w:val="00AA306C"/>
    <w:rsid w:val="00AA78E9"/>
    <w:rsid w:val="00AB0389"/>
    <w:rsid w:val="00AC5B82"/>
    <w:rsid w:val="00AD221B"/>
    <w:rsid w:val="00AF7D9B"/>
    <w:rsid w:val="00B04877"/>
    <w:rsid w:val="00B05B6D"/>
    <w:rsid w:val="00B24D54"/>
    <w:rsid w:val="00B31A05"/>
    <w:rsid w:val="00B33045"/>
    <w:rsid w:val="00B41E35"/>
    <w:rsid w:val="00B43A9D"/>
    <w:rsid w:val="00B57151"/>
    <w:rsid w:val="00B616AC"/>
    <w:rsid w:val="00B62C29"/>
    <w:rsid w:val="00B63087"/>
    <w:rsid w:val="00BA2822"/>
    <w:rsid w:val="00BB4803"/>
    <w:rsid w:val="00BC494C"/>
    <w:rsid w:val="00BD1D9F"/>
    <w:rsid w:val="00BD5FC6"/>
    <w:rsid w:val="00BE4126"/>
    <w:rsid w:val="00BE773A"/>
    <w:rsid w:val="00BF6F27"/>
    <w:rsid w:val="00C11DBF"/>
    <w:rsid w:val="00C163E1"/>
    <w:rsid w:val="00C321EB"/>
    <w:rsid w:val="00C6546C"/>
    <w:rsid w:val="00C819E5"/>
    <w:rsid w:val="00C8755B"/>
    <w:rsid w:val="00C951D8"/>
    <w:rsid w:val="00CA58AD"/>
    <w:rsid w:val="00CC5EED"/>
    <w:rsid w:val="00D00245"/>
    <w:rsid w:val="00D064A7"/>
    <w:rsid w:val="00D067B5"/>
    <w:rsid w:val="00D124F0"/>
    <w:rsid w:val="00D12C8B"/>
    <w:rsid w:val="00D2390E"/>
    <w:rsid w:val="00D63150"/>
    <w:rsid w:val="00D750F4"/>
    <w:rsid w:val="00D80640"/>
    <w:rsid w:val="00D8244A"/>
    <w:rsid w:val="00D8445F"/>
    <w:rsid w:val="00DA168A"/>
    <w:rsid w:val="00DA6CFD"/>
    <w:rsid w:val="00DB1938"/>
    <w:rsid w:val="00DF275D"/>
    <w:rsid w:val="00DF7D7C"/>
    <w:rsid w:val="00E03100"/>
    <w:rsid w:val="00E238C8"/>
    <w:rsid w:val="00E37286"/>
    <w:rsid w:val="00E57EF3"/>
    <w:rsid w:val="00E7298C"/>
    <w:rsid w:val="00E85FAA"/>
    <w:rsid w:val="00E94BD2"/>
    <w:rsid w:val="00EA5407"/>
    <w:rsid w:val="00EB4E06"/>
    <w:rsid w:val="00EC383D"/>
    <w:rsid w:val="00EC72EE"/>
    <w:rsid w:val="00EC770D"/>
    <w:rsid w:val="00EF437A"/>
    <w:rsid w:val="00F05ABF"/>
    <w:rsid w:val="00F12AD9"/>
    <w:rsid w:val="00F2254B"/>
    <w:rsid w:val="00F2438B"/>
    <w:rsid w:val="00F26873"/>
    <w:rsid w:val="00F306A6"/>
    <w:rsid w:val="00F444B4"/>
    <w:rsid w:val="00F53633"/>
    <w:rsid w:val="00F92CC8"/>
    <w:rsid w:val="00F96192"/>
    <w:rsid w:val="00F9632E"/>
    <w:rsid w:val="00FA23DD"/>
    <w:rsid w:val="00FA67DB"/>
    <w:rsid w:val="00FC041E"/>
    <w:rsid w:val="00FC328A"/>
    <w:rsid w:val="00FF4E21"/>
    <w:rsid w:val="01094768"/>
    <w:rsid w:val="03C01D13"/>
    <w:rsid w:val="04377E53"/>
    <w:rsid w:val="04D74189"/>
    <w:rsid w:val="06DA55B6"/>
    <w:rsid w:val="08316516"/>
    <w:rsid w:val="0A1C764F"/>
    <w:rsid w:val="0B3549C3"/>
    <w:rsid w:val="0B3F3FBB"/>
    <w:rsid w:val="10213488"/>
    <w:rsid w:val="192D7BF1"/>
    <w:rsid w:val="1DCE1DE5"/>
    <w:rsid w:val="20664A06"/>
    <w:rsid w:val="22D71A21"/>
    <w:rsid w:val="271C1C0A"/>
    <w:rsid w:val="276641D0"/>
    <w:rsid w:val="2F1270DE"/>
    <w:rsid w:val="2F363A5F"/>
    <w:rsid w:val="318661DD"/>
    <w:rsid w:val="34E020DE"/>
    <w:rsid w:val="36530F55"/>
    <w:rsid w:val="373661C4"/>
    <w:rsid w:val="396935FD"/>
    <w:rsid w:val="3F096046"/>
    <w:rsid w:val="42101288"/>
    <w:rsid w:val="42F545D5"/>
    <w:rsid w:val="44746686"/>
    <w:rsid w:val="48276444"/>
    <w:rsid w:val="49DE297E"/>
    <w:rsid w:val="4A29778E"/>
    <w:rsid w:val="51FC2E48"/>
    <w:rsid w:val="55B23094"/>
    <w:rsid w:val="562B59C9"/>
    <w:rsid w:val="56652AAB"/>
    <w:rsid w:val="56940FBC"/>
    <w:rsid w:val="578C01F6"/>
    <w:rsid w:val="5E980B4A"/>
    <w:rsid w:val="6808789B"/>
    <w:rsid w:val="70DE0915"/>
    <w:rsid w:val="720D42F7"/>
    <w:rsid w:val="735B12FF"/>
    <w:rsid w:val="74411ED1"/>
    <w:rsid w:val="774132F8"/>
    <w:rsid w:val="776B1F96"/>
    <w:rsid w:val="78A63027"/>
    <w:rsid w:val="7A806036"/>
    <w:rsid w:val="7B175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qFormat/>
    <w:uiPriority w:val="0"/>
    <w:rPr>
      <w:sz w:val="20"/>
      <w:szCs w:val="20"/>
    </w:rPr>
  </w:style>
  <w:style w:type="paragraph" w:styleId="3">
    <w:name w:val="Balloon Text"/>
    <w:basedOn w:val="1"/>
    <w:link w:val="14"/>
    <w:qFormat/>
    <w:uiPriority w:val="0"/>
    <w:rPr>
      <w:rFonts w:ascii="Segoe UI" w:hAnsi="Segoe UI" w:cs="Segoe UI"/>
      <w:sz w:val="18"/>
      <w:szCs w:val="18"/>
    </w:rPr>
  </w:style>
  <w:style w:type="paragraph" w:styleId="4">
    <w:name w:val="footer"/>
    <w:basedOn w:val="1"/>
    <w:link w:val="13"/>
    <w:qFormat/>
    <w:uiPriority w:val="0"/>
    <w:pPr>
      <w:tabs>
        <w:tab w:val="center" w:pos="4513"/>
        <w:tab w:val="right" w:pos="9026"/>
      </w:tabs>
    </w:pPr>
  </w:style>
  <w:style w:type="paragraph" w:styleId="5">
    <w:name w:val="header"/>
    <w:basedOn w:val="1"/>
    <w:link w:val="12"/>
    <w:qFormat/>
    <w:uiPriority w:val="0"/>
    <w:pPr>
      <w:tabs>
        <w:tab w:val="center" w:pos="4513"/>
        <w:tab w:val="right" w:pos="9026"/>
      </w:tabs>
    </w:pPr>
  </w:style>
  <w:style w:type="paragraph" w:styleId="6">
    <w:name w:val="Normal (Web)"/>
    <w:basedOn w:val="1"/>
    <w:unhideWhenUsed/>
    <w:qFormat/>
    <w:uiPriority w:val="99"/>
    <w:pPr>
      <w:spacing w:before="100" w:beforeAutospacing="1" w:after="100" w:afterAutospacing="1"/>
    </w:pPr>
    <w:rPr>
      <w:rFonts w:ascii="宋体" w:hAnsi="宋体" w:cs="宋体"/>
    </w:rPr>
  </w:style>
  <w:style w:type="paragraph" w:styleId="7">
    <w:name w:val="annotation subject"/>
    <w:basedOn w:val="2"/>
    <w:next w:val="2"/>
    <w:link w:val="17"/>
    <w:qFormat/>
    <w:uiPriority w:val="0"/>
    <w:rPr>
      <w:b/>
      <w:bCs/>
    </w:rPr>
  </w:style>
  <w:style w:type="character" w:styleId="10">
    <w:name w:val="Hyperlink"/>
    <w:qFormat/>
    <w:uiPriority w:val="0"/>
    <w:rPr>
      <w:color w:val="0563C1"/>
      <w:u w:val="single"/>
    </w:rPr>
  </w:style>
  <w:style w:type="character" w:styleId="11">
    <w:name w:val="annotation reference"/>
    <w:basedOn w:val="9"/>
    <w:qFormat/>
    <w:uiPriority w:val="0"/>
    <w:rPr>
      <w:sz w:val="16"/>
      <w:szCs w:val="16"/>
    </w:rPr>
  </w:style>
  <w:style w:type="character" w:customStyle="1" w:styleId="12">
    <w:name w:val="页眉 字符"/>
    <w:link w:val="5"/>
    <w:qFormat/>
    <w:uiPriority w:val="0"/>
    <w:rPr>
      <w:sz w:val="24"/>
      <w:szCs w:val="24"/>
      <w:lang w:val="en-US"/>
    </w:rPr>
  </w:style>
  <w:style w:type="character" w:customStyle="1" w:styleId="13">
    <w:name w:val="页脚 字符"/>
    <w:link w:val="4"/>
    <w:qFormat/>
    <w:uiPriority w:val="0"/>
    <w:rPr>
      <w:sz w:val="24"/>
      <w:szCs w:val="24"/>
      <w:lang w:val="en-US"/>
    </w:rPr>
  </w:style>
  <w:style w:type="character" w:customStyle="1" w:styleId="14">
    <w:name w:val="批注框文本 字符"/>
    <w:link w:val="3"/>
    <w:qFormat/>
    <w:uiPriority w:val="0"/>
    <w:rPr>
      <w:rFonts w:ascii="Segoe UI" w:hAnsi="Segoe UI" w:cs="Segoe UI"/>
      <w:sz w:val="18"/>
      <w:szCs w:val="18"/>
      <w:lang w:val="en-US"/>
    </w:rPr>
  </w:style>
  <w:style w:type="character" w:customStyle="1" w:styleId="15">
    <w:name w:val="未处理的提及1"/>
    <w:semiHidden/>
    <w:unhideWhenUsed/>
    <w:qFormat/>
    <w:uiPriority w:val="99"/>
    <w:rPr>
      <w:color w:val="605E5C"/>
      <w:shd w:val="clear" w:color="auto" w:fill="E1DFDD"/>
    </w:rPr>
  </w:style>
  <w:style w:type="character" w:customStyle="1" w:styleId="16">
    <w:name w:val="批注文字 字符"/>
    <w:basedOn w:val="9"/>
    <w:link w:val="2"/>
    <w:qFormat/>
    <w:uiPriority w:val="0"/>
  </w:style>
  <w:style w:type="character" w:customStyle="1" w:styleId="17">
    <w:name w:val="批注主题 字符"/>
    <w:basedOn w:val="16"/>
    <w:link w:val="7"/>
    <w:qFormat/>
    <w:uiPriority w:val="0"/>
    <w:rPr>
      <w:b/>
      <w:bCs/>
    </w:rPr>
  </w:style>
  <w:style w:type="paragraph" w:styleId="1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nference%20Organized\20200605%20ISRERM2020\SS%20proposal%20form%20-%20Reliability-based%20structural%20control%20with%20isolation%20and%20dissipation%20device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10AE83-2CFF-4C76-BCFF-512D96C0D7F6}">
  <ds:schemaRefs/>
</ds:datastoreItem>
</file>

<file path=docProps/app.xml><?xml version="1.0" encoding="utf-8"?>
<Properties xmlns="http://schemas.openxmlformats.org/officeDocument/2006/extended-properties" xmlns:vt="http://schemas.openxmlformats.org/officeDocument/2006/docPropsVTypes">
  <Template>SS proposal form - Reliability-based structural control with isolation and dissipation devices.dot</Template>
  <Company>HOME</Company>
  <Pages>1</Pages>
  <Words>284</Words>
  <Characters>1620</Characters>
  <Lines>13</Lines>
  <Paragraphs>3</Paragraphs>
  <TotalTime>43</TotalTime>
  <ScaleCrop>false</ScaleCrop>
  <LinksUpToDate>false</LinksUpToDate>
  <CharactersWithSpaces>1901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2019-08-12T13:36:00Z</dcterms:created>
  <dc:creator>彭勇波</dc:creator>
  <cp:lastModifiedBy>董千里</cp:lastModifiedBy>
  <cp:lastPrinted>2017-02-20T07:12:00Z</cp:lastPrinted>
  <dcterms:modified xsi:type="dcterms:W3CDTF">2020-04-20T03:04:04Z</dcterms:modified>
  <dc:title>Dear xxxx</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